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4122" w14:textId="77777777" w:rsidR="00B60236" w:rsidRPr="00515C71" w:rsidRDefault="00B60236" w:rsidP="00B60236">
      <w:pPr>
        <w:rPr>
          <w:b/>
          <w:bCs/>
          <w:sz w:val="28"/>
          <w:szCs w:val="28"/>
        </w:rPr>
      </w:pPr>
      <w:r w:rsidRPr="00515C71">
        <w:rPr>
          <w:b/>
          <w:bCs/>
          <w:sz w:val="28"/>
          <w:szCs w:val="28"/>
        </w:rPr>
        <w:t>CELEBRATING THE LORD’S PROVISION</w:t>
      </w:r>
    </w:p>
    <w:p w14:paraId="3C877CFC" w14:textId="34BAAD52" w:rsidR="00B60236" w:rsidRPr="005539CA" w:rsidRDefault="00B60236" w:rsidP="00B60236">
      <w:pPr>
        <w:spacing w:line="192" w:lineRule="auto"/>
      </w:pPr>
      <w:r w:rsidRPr="005539CA">
        <w:rPr>
          <w:b/>
          <w:bCs/>
        </w:rPr>
        <w:t xml:space="preserve">Thanks to your generous support, </w:t>
      </w:r>
      <w:r w:rsidR="00EC1173">
        <w:rPr>
          <w:b/>
          <w:bCs/>
        </w:rPr>
        <w:t xml:space="preserve">we have been able to finish the year strong.  </w:t>
      </w:r>
      <w:r w:rsidRPr="005539CA">
        <w:t>Champions for Congo partner</w:t>
      </w:r>
      <w:r w:rsidR="00986F32">
        <w:t>s</w:t>
      </w:r>
      <w:r w:rsidRPr="005539CA">
        <w:t xml:space="preserve"> with Nundu Deaconess Hospital in the Democratic Republic of Congo in providing holistic, compassionate healthcare in South Kivu, transforming the lives of families and communities </w:t>
      </w:r>
      <w:r w:rsidR="009B571F">
        <w:t>in</w:t>
      </w:r>
      <w:r w:rsidRPr="005539CA">
        <w:t xml:space="preserve"> South Kivu</w:t>
      </w:r>
      <w:r w:rsidR="009B571F">
        <w:t xml:space="preserve">, </w:t>
      </w:r>
      <w:r w:rsidRPr="005539CA">
        <w:t>a province in eastern DR Congo.</w:t>
      </w:r>
    </w:p>
    <w:p w14:paraId="0EB3A3EB" w14:textId="08E3B32F" w:rsidR="00B60236" w:rsidRPr="005539CA" w:rsidRDefault="00B60236" w:rsidP="00B60236">
      <w:pPr>
        <w:spacing w:line="192" w:lineRule="auto"/>
      </w:pPr>
      <w:r w:rsidRPr="005539CA">
        <w:t xml:space="preserve">Projects which </w:t>
      </w:r>
      <w:r w:rsidR="00EA51FE">
        <w:t>we</w:t>
      </w:r>
      <w:r w:rsidRPr="005539CA">
        <w:t xml:space="preserve"> have supported this year include station and </w:t>
      </w:r>
      <w:r w:rsidR="00A171EB">
        <w:t xml:space="preserve">hospital </w:t>
      </w:r>
      <w:r w:rsidRPr="005539CA">
        <w:t>salary support, pharmacy, patient care, nutritional support, and school of nursing subsidies.</w:t>
      </w:r>
    </w:p>
    <w:p w14:paraId="5E34DD9E" w14:textId="09E75DBF" w:rsidR="00E82263" w:rsidRPr="008F61A5" w:rsidRDefault="00E82263" w:rsidP="00B60236">
      <w:pPr>
        <w:spacing w:after="0" w:line="192" w:lineRule="auto"/>
        <w:rPr>
          <w:b/>
          <w:bCs/>
          <w:sz w:val="24"/>
          <w:szCs w:val="24"/>
        </w:rPr>
      </w:pPr>
      <w:r w:rsidRPr="008F61A5">
        <w:rPr>
          <w:b/>
          <w:bCs/>
          <w:sz w:val="24"/>
          <w:szCs w:val="24"/>
        </w:rPr>
        <w:t>Staff Salary Support</w:t>
      </w:r>
    </w:p>
    <w:p w14:paraId="5D2B2DA9" w14:textId="0A3F2CA9" w:rsidR="00FD36F5" w:rsidRPr="005539CA" w:rsidRDefault="00E82263" w:rsidP="00D30DE4">
      <w:pPr>
        <w:spacing w:after="0" w:line="192" w:lineRule="auto"/>
      </w:pPr>
      <w:r w:rsidRPr="00E82263">
        <w:t xml:space="preserve">Healthcare providers at Nundu Deaconess Hospital are tirelessly providing </w:t>
      </w:r>
      <w:r w:rsidR="0048351C" w:rsidRPr="005539CA">
        <w:t xml:space="preserve">patient </w:t>
      </w:r>
      <w:r w:rsidR="002D4E0C">
        <w:t xml:space="preserve">care </w:t>
      </w:r>
      <w:r w:rsidR="00FD36F5">
        <w:t>with limited incomes</w:t>
      </w:r>
      <w:r w:rsidRPr="00E82263">
        <w:t xml:space="preserve">. </w:t>
      </w:r>
      <w:r w:rsidR="002D4E0C">
        <w:t xml:space="preserve"> </w:t>
      </w:r>
      <w:r w:rsidRPr="00E82263">
        <w:t xml:space="preserve">Many staff </w:t>
      </w:r>
      <w:r w:rsidR="00812E69">
        <w:t xml:space="preserve">members </w:t>
      </w:r>
      <w:r w:rsidRPr="00E82263">
        <w:t xml:space="preserve">struggle to make ends meet from month to month.  </w:t>
      </w:r>
      <w:r w:rsidR="00FD36F5">
        <w:t>Staff salary</w:t>
      </w:r>
      <w:r w:rsidRPr="00E82263">
        <w:t xml:space="preserve"> support</w:t>
      </w:r>
      <w:r w:rsidR="0074445F">
        <w:t xml:space="preserve"> is</w:t>
      </w:r>
      <w:r w:rsidRPr="00E82263">
        <w:t xml:space="preserve"> </w:t>
      </w:r>
      <w:r w:rsidR="00FD36F5">
        <w:t xml:space="preserve">greatly </w:t>
      </w:r>
      <w:r w:rsidRPr="00E82263">
        <w:t>appreciated</w:t>
      </w:r>
      <w:r w:rsidR="00D30DE4">
        <w:t>.</w:t>
      </w:r>
    </w:p>
    <w:p w14:paraId="162AA37A" w14:textId="273A4F0B" w:rsidR="00C10AFC" w:rsidRPr="005539CA" w:rsidRDefault="00FD36F5" w:rsidP="00C10AFC">
      <w:pPr>
        <w:spacing w:after="0" w:line="192" w:lineRule="auto"/>
      </w:pPr>
      <w:r w:rsidRPr="00FD36F5">
        <w:rPr>
          <w:noProof/>
        </w:rPr>
        <w:t xml:space="preserve"> </w:t>
      </w:r>
      <w:r w:rsidR="00CC44BA" w:rsidRPr="00CC44BA">
        <w:rPr>
          <w:noProof/>
        </w:rPr>
        <w:drawing>
          <wp:inline distT="0" distB="0" distL="0" distR="0" wp14:anchorId="76E3FE7E" wp14:editId="7D8DA4A3">
            <wp:extent cx="3200400" cy="2269490"/>
            <wp:effectExtent l="0" t="0" r="0" b="0"/>
            <wp:docPr id="6" name="Content Placeholder 5" descr="A group of people in a roo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71AFC1-CE0C-42E6-B603-27F8700F9F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group of people in a room&#10;&#10;Description automatically generated">
                      <a:extLst>
                        <a:ext uri="{FF2B5EF4-FFF2-40B4-BE49-F238E27FC236}">
                          <a16:creationId xmlns:a16="http://schemas.microsoft.com/office/drawing/2014/main" id="{0D71AFC1-CE0C-42E6-B603-27F8700F9F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4" r="-1" b="-1"/>
                    <a:stretch/>
                  </pic:blipFill>
                  <pic:spPr>
                    <a:xfrm>
                      <a:off x="0" y="0"/>
                      <a:ext cx="32004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E078" w14:textId="77777777" w:rsidR="00E82263" w:rsidRPr="005539CA" w:rsidRDefault="00E82263" w:rsidP="00E82263">
      <w:pPr>
        <w:spacing w:after="0" w:line="192" w:lineRule="auto"/>
      </w:pPr>
    </w:p>
    <w:p w14:paraId="679DBF66" w14:textId="3C264474" w:rsidR="00E82263" w:rsidRPr="008F61A5" w:rsidRDefault="00E82263" w:rsidP="00E82263">
      <w:pPr>
        <w:spacing w:after="0" w:line="192" w:lineRule="auto"/>
        <w:rPr>
          <w:b/>
          <w:bCs/>
          <w:sz w:val="24"/>
          <w:szCs w:val="24"/>
        </w:rPr>
      </w:pPr>
      <w:r w:rsidRPr="008F61A5">
        <w:rPr>
          <w:b/>
          <w:bCs/>
          <w:sz w:val="24"/>
          <w:szCs w:val="24"/>
        </w:rPr>
        <w:t xml:space="preserve">Pharmacy </w:t>
      </w:r>
      <w:r w:rsidR="00FD36F5" w:rsidRPr="008F61A5">
        <w:rPr>
          <w:b/>
          <w:bCs/>
          <w:sz w:val="24"/>
          <w:szCs w:val="24"/>
        </w:rPr>
        <w:t>Support</w:t>
      </w:r>
    </w:p>
    <w:p w14:paraId="1706F0CC" w14:textId="58648EEC" w:rsidR="00E82263" w:rsidRPr="00E82263" w:rsidRDefault="00E82263" w:rsidP="00392585">
      <w:pPr>
        <w:spacing w:after="0" w:line="192" w:lineRule="auto"/>
      </w:pPr>
      <w:r w:rsidRPr="00E82263">
        <w:t>NDH</w:t>
      </w:r>
      <w:r w:rsidR="0048351C" w:rsidRPr="005539CA">
        <w:t xml:space="preserve"> has</w:t>
      </w:r>
      <w:r w:rsidRPr="00E82263">
        <w:t xml:space="preserve"> signed an MOU to integrate </w:t>
      </w:r>
      <w:r w:rsidR="0048351C" w:rsidRPr="005539CA">
        <w:t xml:space="preserve">with </w:t>
      </w:r>
      <w:r w:rsidRPr="00E82263">
        <w:t xml:space="preserve">a government program funded by the World Bank, </w:t>
      </w:r>
      <w:r w:rsidR="0048351C" w:rsidRPr="005539CA">
        <w:t>intended to improve patient outcomes while at the same time making patient care more accessible.</w:t>
      </w:r>
    </w:p>
    <w:p w14:paraId="795932CD" w14:textId="1AC4FA48" w:rsidR="00E82263" w:rsidRDefault="003279A1" w:rsidP="00D30DE4">
      <w:pPr>
        <w:spacing w:line="192" w:lineRule="auto"/>
      </w:pPr>
      <w:r>
        <w:t>However, t</w:t>
      </w:r>
      <w:r w:rsidR="00E82263" w:rsidRPr="00E82263">
        <w:t xml:space="preserve">he results </w:t>
      </w:r>
      <w:r w:rsidR="0048351C" w:rsidRPr="005539CA">
        <w:t>are</w:t>
      </w:r>
      <w:r>
        <w:t xml:space="preserve"> mixed.</w:t>
      </w:r>
      <w:r w:rsidR="00763471">
        <w:t xml:space="preserve">  </w:t>
      </w:r>
      <w:r w:rsidR="00E82263" w:rsidRPr="00E82263">
        <w:t>Utilization of a flat rate to bill for service</w:t>
      </w:r>
      <w:r w:rsidR="00C10AFC" w:rsidRPr="005539CA">
        <w:t xml:space="preserve">s </w:t>
      </w:r>
      <w:r w:rsidR="00752392">
        <w:t>limits what can be charge for medications</w:t>
      </w:r>
      <w:r w:rsidR="00073459">
        <w:t xml:space="preserve">.  </w:t>
      </w:r>
      <w:r w:rsidR="00E9529B">
        <w:t xml:space="preserve">As a </w:t>
      </w:r>
      <w:r w:rsidR="00FB3EE5">
        <w:t>result,</w:t>
      </w:r>
      <w:r w:rsidR="00E82263" w:rsidRPr="00E82263">
        <w:t xml:space="preserve"> the number of patients </w:t>
      </w:r>
      <w:r w:rsidR="005073A6">
        <w:t xml:space="preserve">has </w:t>
      </w:r>
      <w:r w:rsidR="00481B3D">
        <w:t>increase</w:t>
      </w:r>
      <w:r w:rsidR="005073A6">
        <w:t>d</w:t>
      </w:r>
      <w:r w:rsidR="005950DC">
        <w:t xml:space="preserve"> with a </w:t>
      </w:r>
      <w:r w:rsidR="00E82263" w:rsidRPr="00E82263">
        <w:t>corresponding</w:t>
      </w:r>
      <w:r w:rsidR="005950DC">
        <w:t xml:space="preserve"> increase in</w:t>
      </w:r>
      <w:r w:rsidR="00E82263" w:rsidRPr="00E82263">
        <w:t xml:space="preserve"> </w:t>
      </w:r>
      <w:r w:rsidR="002A0CA8">
        <w:t xml:space="preserve">the </w:t>
      </w:r>
      <w:r w:rsidR="00E82263" w:rsidRPr="00E82263">
        <w:t>medications and other supplies needed.</w:t>
      </w:r>
      <w:r w:rsidR="00381DFF">
        <w:t xml:space="preserve">  The World Bank </w:t>
      </w:r>
      <w:r w:rsidR="00363050">
        <w:t>program</w:t>
      </w:r>
      <w:r w:rsidR="00E82263" w:rsidRPr="00E82263">
        <w:t xml:space="preserve"> covers the bill after assessment of quality of care on each chart. Payment </w:t>
      </w:r>
      <w:r w:rsidR="003C1439">
        <w:t>should be</w:t>
      </w:r>
      <w:r w:rsidR="00E82263" w:rsidRPr="00E82263">
        <w:t xml:space="preserve"> received </w:t>
      </w:r>
      <w:r w:rsidR="00826C14">
        <w:t xml:space="preserve">for </w:t>
      </w:r>
      <w:r w:rsidR="00E82263" w:rsidRPr="00E82263">
        <w:t xml:space="preserve">each quarter </w:t>
      </w:r>
      <w:r w:rsidR="00C10AFC" w:rsidRPr="005539CA">
        <w:t>but is often</w:t>
      </w:r>
      <w:r w:rsidR="00E82263" w:rsidRPr="00E82263">
        <w:t xml:space="preserve"> delayed.  </w:t>
      </w:r>
    </w:p>
    <w:p w14:paraId="42454EBB" w14:textId="70A4AD03" w:rsidR="005C5C71" w:rsidRPr="005539CA" w:rsidRDefault="005C5C71" w:rsidP="005C5C71">
      <w:pPr>
        <w:spacing w:after="0" w:line="192" w:lineRule="auto"/>
      </w:pPr>
      <w:r>
        <w:rPr>
          <w:noProof/>
        </w:rPr>
        <w:drawing>
          <wp:inline distT="0" distB="0" distL="0" distR="0" wp14:anchorId="788E349D" wp14:editId="021BCCB5">
            <wp:extent cx="2891906" cy="1908397"/>
            <wp:effectExtent l="0" t="0" r="3810" b="0"/>
            <wp:docPr id="9355250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25019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906" cy="19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9117" w14:textId="15496580" w:rsidR="00E82263" w:rsidRPr="00F76AAC" w:rsidRDefault="00E82263" w:rsidP="00E82263">
      <w:pPr>
        <w:spacing w:after="0" w:line="192" w:lineRule="auto"/>
        <w:rPr>
          <w:b/>
          <w:bCs/>
          <w:sz w:val="24"/>
          <w:szCs w:val="24"/>
        </w:rPr>
      </w:pPr>
      <w:r w:rsidRPr="00F76AAC">
        <w:rPr>
          <w:b/>
          <w:bCs/>
          <w:sz w:val="24"/>
          <w:szCs w:val="24"/>
        </w:rPr>
        <w:t>Patient Care</w:t>
      </w:r>
    </w:p>
    <w:p w14:paraId="5294BB45" w14:textId="7B8F2CFD" w:rsidR="00E82263" w:rsidRPr="00E82263" w:rsidRDefault="00E82263" w:rsidP="00DA5726">
      <w:pPr>
        <w:spacing w:after="0" w:line="192" w:lineRule="auto"/>
      </w:pPr>
      <w:r w:rsidRPr="00E82263">
        <w:t>The World Bank program</w:t>
      </w:r>
      <w:r w:rsidR="003A2815">
        <w:t xml:space="preserve">, </w:t>
      </w:r>
      <w:r w:rsidRPr="00E82263">
        <w:t xml:space="preserve">by imposing </w:t>
      </w:r>
      <w:r w:rsidR="00C10AFC" w:rsidRPr="005539CA">
        <w:t>a reduction</w:t>
      </w:r>
      <w:r w:rsidRPr="00E82263">
        <w:t xml:space="preserve"> </w:t>
      </w:r>
      <w:r w:rsidR="00C10AFC" w:rsidRPr="005539CA">
        <w:t>of</w:t>
      </w:r>
      <w:r w:rsidRPr="00E82263">
        <w:t xml:space="preserve"> what </w:t>
      </w:r>
      <w:r w:rsidR="00C10AFC" w:rsidRPr="005539CA">
        <w:t>healthcare facilities</w:t>
      </w:r>
      <w:r w:rsidRPr="00E82263">
        <w:t xml:space="preserve"> can charge, has negatively impacted the hospital budget. </w:t>
      </w:r>
      <w:r w:rsidR="00EF04B9">
        <w:t xml:space="preserve">What can be charged for patient care is </w:t>
      </w:r>
      <w:r w:rsidR="00194ABB">
        <w:t>capped</w:t>
      </w:r>
      <w:r w:rsidR="00EF04B9">
        <w:t xml:space="preserve">, but even </w:t>
      </w:r>
      <w:r w:rsidR="00091536">
        <w:t xml:space="preserve">this </w:t>
      </w:r>
      <w:r w:rsidR="00194ABB">
        <w:t xml:space="preserve">reduced </w:t>
      </w:r>
      <w:r w:rsidRPr="00E82263">
        <w:t xml:space="preserve">amount of $22-29 for pediatric </w:t>
      </w:r>
      <w:r w:rsidR="005C5C71">
        <w:t>patients</w:t>
      </w:r>
      <w:r w:rsidR="00DC2346">
        <w:t>, for example,</w:t>
      </w:r>
      <w:r w:rsidRPr="00E82263">
        <w:t xml:space="preserve"> </w:t>
      </w:r>
      <w:r w:rsidR="00DC2346">
        <w:t xml:space="preserve">is </w:t>
      </w:r>
      <w:r w:rsidRPr="00E82263">
        <w:t xml:space="preserve">more than what most families can afford.  </w:t>
      </w:r>
    </w:p>
    <w:p w14:paraId="2EE13A35" w14:textId="18092313" w:rsidR="00E82263" w:rsidRPr="00E82263" w:rsidRDefault="00D55E58" w:rsidP="00D55E58">
      <w:pPr>
        <w:spacing w:after="0" w:line="192" w:lineRule="auto"/>
      </w:pPr>
      <w:r>
        <w:t>In 20</w:t>
      </w:r>
      <w:r w:rsidR="001C4FC4">
        <w:t>2</w:t>
      </w:r>
      <w:r>
        <w:t xml:space="preserve">4 more than 400 </w:t>
      </w:r>
      <w:r w:rsidR="00E82263" w:rsidRPr="00E82263">
        <w:t xml:space="preserve">vulnerable children </w:t>
      </w:r>
      <w:r w:rsidR="005C5C71">
        <w:t xml:space="preserve">received </w:t>
      </w:r>
      <w:proofErr w:type="gramStart"/>
      <w:r w:rsidR="00E82263" w:rsidRPr="00E82263">
        <w:t>care free</w:t>
      </w:r>
      <w:proofErr w:type="gramEnd"/>
      <w:r w:rsidR="00E82263" w:rsidRPr="00E82263">
        <w:t xml:space="preserve"> of charge through the patient care fund. Many of these children are malnourished, have a chronic condition like sickle cell anemia, are from internally displaced families, or </w:t>
      </w:r>
      <w:r w:rsidR="00C10AFC" w:rsidRPr="005539CA">
        <w:t>supported</w:t>
      </w:r>
      <w:r w:rsidR="00E82263" w:rsidRPr="00E82263">
        <w:t xml:space="preserve"> by </w:t>
      </w:r>
      <w:r w:rsidR="00327558">
        <w:t xml:space="preserve">a </w:t>
      </w:r>
      <w:r w:rsidR="00E82263" w:rsidRPr="00E82263">
        <w:t xml:space="preserve">single mother without any reliable source of income. </w:t>
      </w:r>
    </w:p>
    <w:p w14:paraId="73A4C77F" w14:textId="77777777" w:rsidR="00280021" w:rsidRDefault="00280021" w:rsidP="00B650CD">
      <w:pPr>
        <w:spacing w:after="0" w:line="192" w:lineRule="auto"/>
      </w:pPr>
    </w:p>
    <w:p w14:paraId="5A6951E9" w14:textId="2D4B57A6" w:rsidR="005C5C71" w:rsidRPr="005539CA" w:rsidRDefault="00E82263" w:rsidP="002D4E0C">
      <w:pPr>
        <w:spacing w:after="0" w:line="192" w:lineRule="auto"/>
      </w:pPr>
      <w:r w:rsidRPr="00E82263">
        <w:t xml:space="preserve">Many of these children would </w:t>
      </w:r>
      <w:r w:rsidR="00DA39C4">
        <w:t xml:space="preserve">have </w:t>
      </w:r>
      <w:r w:rsidRPr="00E82263">
        <w:t xml:space="preserve">either </w:t>
      </w:r>
      <w:r w:rsidR="00DA39C4">
        <w:t xml:space="preserve">died or </w:t>
      </w:r>
      <w:r w:rsidR="00FB3EE5">
        <w:t xml:space="preserve">their </w:t>
      </w:r>
      <w:r w:rsidR="00FB3EE5" w:rsidRPr="00E82263">
        <w:t>families</w:t>
      </w:r>
      <w:r w:rsidR="00280021">
        <w:t xml:space="preserve"> would have</w:t>
      </w:r>
      <w:r w:rsidR="008D168B">
        <w:t xml:space="preserve"> been forced </w:t>
      </w:r>
      <w:r w:rsidRPr="00E82263">
        <w:t>into poverty by selling th</w:t>
      </w:r>
      <w:r w:rsidR="004E7085">
        <w:t xml:space="preserve">eir </w:t>
      </w:r>
      <w:r w:rsidRPr="00E82263">
        <w:t>land</w:t>
      </w:r>
      <w:r w:rsidR="004E7085">
        <w:t xml:space="preserve"> or livestock</w:t>
      </w:r>
      <w:r w:rsidRPr="00E82263">
        <w:t xml:space="preserve"> to cover the medical bill.  </w:t>
      </w:r>
      <w:r w:rsidR="00FD36F5">
        <w:t xml:space="preserve">What you give makes a difference.  </w:t>
      </w:r>
      <w:r w:rsidRPr="00E82263">
        <w:t xml:space="preserve">An average of $25 covers the cost of an infant’s </w:t>
      </w:r>
      <w:r w:rsidR="005C5C71" w:rsidRPr="00E82263">
        <w:t>hospitalization;</w:t>
      </w:r>
      <w:r w:rsidRPr="00E82263">
        <w:t xml:space="preserve"> $250 covers the bill of ten children, $2500 covers </w:t>
      </w:r>
      <w:r w:rsidR="005C5C71" w:rsidRPr="005539CA">
        <w:t>the bill</w:t>
      </w:r>
      <w:r w:rsidRPr="00E82263">
        <w:t xml:space="preserve"> of 100 children. </w:t>
      </w:r>
    </w:p>
    <w:p w14:paraId="6FC73B93" w14:textId="77777777" w:rsidR="00375A5B" w:rsidRDefault="005D07FC" w:rsidP="005D07FC">
      <w:pPr>
        <w:spacing w:after="0" w:line="192" w:lineRule="auto"/>
      </w:pPr>
      <w:r>
        <w:rPr>
          <w:noProof/>
        </w:rPr>
        <w:drawing>
          <wp:inline distT="0" distB="0" distL="0" distR="0" wp14:anchorId="05016CAA" wp14:editId="73B2A0A3">
            <wp:extent cx="2918460" cy="2283229"/>
            <wp:effectExtent l="0" t="0" r="0" b="3175"/>
            <wp:docPr id="402280916" name="Picture 3" descr="A group of people lying in be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80916" name="Picture 3" descr="A group of people lying in bed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255" cy="229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6CC8F" w14:textId="1BCBF346" w:rsidR="00375A5B" w:rsidRDefault="00375A5B" w:rsidP="005D07FC">
      <w:pPr>
        <w:spacing w:after="0" w:line="192" w:lineRule="auto"/>
      </w:pPr>
    </w:p>
    <w:p w14:paraId="6223F84B" w14:textId="2C680308" w:rsidR="00E82263" w:rsidRPr="008F61A5" w:rsidRDefault="00E82263" w:rsidP="00E82263">
      <w:pPr>
        <w:spacing w:after="0" w:line="192" w:lineRule="auto"/>
        <w:rPr>
          <w:b/>
          <w:bCs/>
          <w:sz w:val="24"/>
          <w:szCs w:val="24"/>
        </w:rPr>
      </w:pPr>
      <w:r w:rsidRPr="008F61A5">
        <w:rPr>
          <w:b/>
          <w:bCs/>
          <w:sz w:val="24"/>
          <w:szCs w:val="24"/>
        </w:rPr>
        <w:t xml:space="preserve">Nutritional Support </w:t>
      </w:r>
      <w:r w:rsidR="008F61A5" w:rsidRPr="008F61A5">
        <w:rPr>
          <w:b/>
          <w:bCs/>
          <w:sz w:val="24"/>
          <w:szCs w:val="24"/>
        </w:rPr>
        <w:t>for</w:t>
      </w:r>
      <w:r w:rsidRPr="008F61A5">
        <w:rPr>
          <w:b/>
          <w:bCs/>
          <w:sz w:val="24"/>
          <w:szCs w:val="24"/>
        </w:rPr>
        <w:t xml:space="preserve"> </w:t>
      </w:r>
      <w:r w:rsidR="0074445F" w:rsidRPr="008F61A5">
        <w:rPr>
          <w:b/>
          <w:bCs/>
          <w:sz w:val="24"/>
          <w:szCs w:val="24"/>
        </w:rPr>
        <w:t>at-Risk</w:t>
      </w:r>
      <w:r w:rsidRPr="008F61A5">
        <w:rPr>
          <w:b/>
          <w:bCs/>
          <w:sz w:val="24"/>
          <w:szCs w:val="24"/>
        </w:rPr>
        <w:t xml:space="preserve"> Patients</w:t>
      </w:r>
    </w:p>
    <w:p w14:paraId="69F619D8" w14:textId="74D7BB53" w:rsidR="0048351C" w:rsidRPr="0048351C" w:rsidRDefault="00A556C5" w:rsidP="002756D3">
      <w:pPr>
        <w:spacing w:after="0" w:line="192" w:lineRule="auto"/>
      </w:pPr>
      <w:r>
        <w:t>N</w:t>
      </w:r>
      <w:r w:rsidR="009C4545" w:rsidRPr="00E82263">
        <w:t>undu</w:t>
      </w:r>
      <w:r>
        <w:t xml:space="preserve"> D</w:t>
      </w:r>
      <w:r w:rsidR="009C4545" w:rsidRPr="00E82263">
        <w:t xml:space="preserve">eaconess </w:t>
      </w:r>
      <w:r>
        <w:t>H</w:t>
      </w:r>
      <w:r w:rsidR="009C4545" w:rsidRPr="00E82263">
        <w:t>ospital</w:t>
      </w:r>
      <w:r w:rsidR="00E82263" w:rsidRPr="00E82263">
        <w:t xml:space="preserve"> is the referral hospital for 21 rural clinics</w:t>
      </w:r>
      <w:r w:rsidR="005C5C71">
        <w:t xml:space="preserve">.  </w:t>
      </w:r>
      <w:r w:rsidR="00E82263" w:rsidRPr="00E82263">
        <w:t>Patients receive meals from home whenever relatives visit</w:t>
      </w:r>
      <w:r w:rsidR="005C5C71">
        <w:t>, but i</w:t>
      </w:r>
      <w:r w:rsidR="00E82263" w:rsidRPr="00E82263">
        <w:t xml:space="preserve">t </w:t>
      </w:r>
      <w:r w:rsidR="005C5C71">
        <w:t xml:space="preserve">is </w:t>
      </w:r>
      <w:r w:rsidR="00E82263" w:rsidRPr="00E82263">
        <w:t xml:space="preserve">difficult for most families to visit their loved ones twice a day. Many patients rarely </w:t>
      </w:r>
      <w:r w:rsidR="005539CA" w:rsidRPr="00E82263">
        <w:t>get breakfast</w:t>
      </w:r>
      <w:r w:rsidR="005C5C71">
        <w:t>.</w:t>
      </w:r>
      <w:r w:rsidR="00E82263" w:rsidRPr="00E82263">
        <w:t xml:space="preserve"> </w:t>
      </w:r>
      <w:r w:rsidR="00C07950">
        <w:t xml:space="preserve"> </w:t>
      </w:r>
      <w:r w:rsidR="0048351C" w:rsidRPr="0048351C">
        <w:t xml:space="preserve">Because of the generous donations from CAHO, </w:t>
      </w:r>
      <w:r w:rsidR="00C07950">
        <w:t>the hospital</w:t>
      </w:r>
      <w:r w:rsidR="005C5C71" w:rsidRPr="0048351C">
        <w:t xml:space="preserve"> continues</w:t>
      </w:r>
      <w:r w:rsidR="0048351C" w:rsidRPr="0048351C">
        <w:t xml:space="preserve"> to serve an average of 152 cups of porridge every morning with “</w:t>
      </w:r>
      <w:proofErr w:type="spellStart"/>
      <w:r w:rsidR="0048351C" w:rsidRPr="0048351C">
        <w:t>Handazi</w:t>
      </w:r>
      <w:proofErr w:type="spellEnd"/>
      <w:r w:rsidR="0048351C" w:rsidRPr="0048351C">
        <w:t>” (</w:t>
      </w:r>
      <w:r w:rsidR="006413B7">
        <w:t xml:space="preserve">a slice of </w:t>
      </w:r>
      <w:r w:rsidR="0048351C" w:rsidRPr="0048351C">
        <w:t xml:space="preserve">bread). </w:t>
      </w:r>
    </w:p>
    <w:p w14:paraId="31E0879E" w14:textId="229FCDD8" w:rsidR="00E82263" w:rsidRPr="00E82263" w:rsidRDefault="00FD36F5" w:rsidP="00C07950">
      <w:pPr>
        <w:spacing w:after="0" w:line="192" w:lineRule="auto"/>
      </w:pPr>
      <w:r>
        <w:t>P</w:t>
      </w:r>
      <w:r w:rsidR="0048351C" w:rsidRPr="0048351C">
        <w:t xml:space="preserve">atients with malnutrition receive additional food </w:t>
      </w:r>
      <w:r w:rsidR="005C5C71">
        <w:t>supplements.</w:t>
      </w:r>
      <w:r w:rsidR="0048351C" w:rsidRPr="0048351C">
        <w:t xml:space="preserve">  </w:t>
      </w:r>
      <w:r w:rsidR="00954099">
        <w:t xml:space="preserve"> </w:t>
      </w:r>
    </w:p>
    <w:p w14:paraId="5F461371" w14:textId="615CE28D" w:rsidR="00B60236" w:rsidRDefault="005D07FC" w:rsidP="00B60236">
      <w:pPr>
        <w:spacing w:line="192" w:lineRule="auto"/>
      </w:pPr>
      <w:r w:rsidRPr="005539CA">
        <w:rPr>
          <w:noProof/>
        </w:rPr>
        <w:drawing>
          <wp:inline distT="0" distB="0" distL="0" distR="0" wp14:anchorId="436C1403" wp14:editId="5DB41650">
            <wp:extent cx="2903220" cy="1889515"/>
            <wp:effectExtent l="0" t="0" r="0" b="0"/>
            <wp:docPr id="514280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80338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987" cy="18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8AFB" w14:textId="0DA09A8E" w:rsidR="00D463C3" w:rsidRPr="002577D1" w:rsidRDefault="00172773" w:rsidP="00DE1B1E">
      <w:pPr>
        <w:spacing w:after="0" w:line="192" w:lineRule="auto"/>
        <w:rPr>
          <w:rFonts w:ascii="Lucida Handwriting" w:hAnsi="Lucida Handwriting"/>
          <w:sz w:val="24"/>
          <w:szCs w:val="24"/>
        </w:rPr>
      </w:pPr>
      <w:r w:rsidRPr="005539CA">
        <w:t>We are thankful for your prayers</w:t>
      </w:r>
      <w:r w:rsidR="008A2ACF">
        <w:t xml:space="preserve"> and continue</w:t>
      </w:r>
      <w:r w:rsidR="00943CC4">
        <w:t xml:space="preserve">d </w:t>
      </w:r>
      <w:r w:rsidR="008A2ACF">
        <w:t>support</w:t>
      </w:r>
      <w:r w:rsidRPr="005539CA">
        <w:t>.</w:t>
      </w:r>
      <w:r w:rsidR="00457D15">
        <w:t xml:space="preserve"> </w:t>
      </w:r>
      <w:r w:rsidR="00BE6BC3" w:rsidRPr="007245FD">
        <w:rPr>
          <w:color w:val="215E99" w:themeColor="text2" w:themeTint="BF"/>
        </w:rPr>
        <w:t>www.congohealth.org</w:t>
      </w:r>
      <w:r w:rsidR="00D463C3" w:rsidRPr="002577D1">
        <w:rPr>
          <w:sz w:val="24"/>
          <w:szCs w:val="24"/>
        </w:rPr>
        <w:t xml:space="preserve"> </w:t>
      </w:r>
      <w:r w:rsidR="00D463C3" w:rsidRPr="002577D1">
        <w:rPr>
          <w:rFonts w:ascii="Lucida Handwriting" w:hAnsi="Lucida Handwriting"/>
          <w:sz w:val="24"/>
          <w:szCs w:val="24"/>
        </w:rPr>
        <w:t>Tim Kratzer</w:t>
      </w:r>
    </w:p>
    <w:sectPr w:rsidR="00D463C3" w:rsidRPr="002577D1" w:rsidSect="00C10A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6AE"/>
    <w:multiLevelType w:val="hybridMultilevel"/>
    <w:tmpl w:val="E5D6E56E"/>
    <w:lvl w:ilvl="0" w:tplc="298A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E8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A8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28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6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4A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0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8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6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6C3971"/>
    <w:multiLevelType w:val="hybridMultilevel"/>
    <w:tmpl w:val="E312C32C"/>
    <w:lvl w:ilvl="0" w:tplc="12466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8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C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E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C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82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A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4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F5DEC"/>
    <w:multiLevelType w:val="hybridMultilevel"/>
    <w:tmpl w:val="F66632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7EC5582"/>
    <w:multiLevelType w:val="hybridMultilevel"/>
    <w:tmpl w:val="24449484"/>
    <w:lvl w:ilvl="0" w:tplc="13E2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44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A9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D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0D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4D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9F3A55"/>
    <w:multiLevelType w:val="hybridMultilevel"/>
    <w:tmpl w:val="212AA146"/>
    <w:lvl w:ilvl="0" w:tplc="A1F83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4E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4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5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C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9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81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6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9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9C2CA0"/>
    <w:multiLevelType w:val="hybridMultilevel"/>
    <w:tmpl w:val="6BAE75C2"/>
    <w:lvl w:ilvl="0" w:tplc="F40A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C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0E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6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C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6D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02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A1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AC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6D0AAD"/>
    <w:multiLevelType w:val="hybridMultilevel"/>
    <w:tmpl w:val="8A4862A2"/>
    <w:lvl w:ilvl="0" w:tplc="4C86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AA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0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26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2B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E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02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8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E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4D287D"/>
    <w:multiLevelType w:val="hybridMultilevel"/>
    <w:tmpl w:val="11BEFB4C"/>
    <w:lvl w:ilvl="0" w:tplc="514C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03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ED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47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8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82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C2A3795"/>
    <w:multiLevelType w:val="hybridMultilevel"/>
    <w:tmpl w:val="143A47FA"/>
    <w:lvl w:ilvl="0" w:tplc="9AAE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A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4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E3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CC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A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2D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42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C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5893373">
    <w:abstractNumId w:val="3"/>
  </w:num>
  <w:num w:numId="2" w16cid:durableId="973019754">
    <w:abstractNumId w:val="1"/>
  </w:num>
  <w:num w:numId="3" w16cid:durableId="1738942762">
    <w:abstractNumId w:val="8"/>
  </w:num>
  <w:num w:numId="4" w16cid:durableId="1526164752">
    <w:abstractNumId w:val="4"/>
  </w:num>
  <w:num w:numId="5" w16cid:durableId="969283565">
    <w:abstractNumId w:val="5"/>
  </w:num>
  <w:num w:numId="6" w16cid:durableId="422722716">
    <w:abstractNumId w:val="7"/>
  </w:num>
  <w:num w:numId="7" w16cid:durableId="456022969">
    <w:abstractNumId w:val="6"/>
  </w:num>
  <w:num w:numId="8" w16cid:durableId="944271001">
    <w:abstractNumId w:val="0"/>
  </w:num>
  <w:num w:numId="9" w16cid:durableId="202081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36"/>
    <w:rsid w:val="00036858"/>
    <w:rsid w:val="00073459"/>
    <w:rsid w:val="00091536"/>
    <w:rsid w:val="00172773"/>
    <w:rsid w:val="00177485"/>
    <w:rsid w:val="00194ABB"/>
    <w:rsid w:val="001C4FC4"/>
    <w:rsid w:val="001F5100"/>
    <w:rsid w:val="00253828"/>
    <w:rsid w:val="002577D1"/>
    <w:rsid w:val="00273CBD"/>
    <w:rsid w:val="002756D3"/>
    <w:rsid w:val="00280021"/>
    <w:rsid w:val="00292AB3"/>
    <w:rsid w:val="002A0CA8"/>
    <w:rsid w:val="002D4E0C"/>
    <w:rsid w:val="00327558"/>
    <w:rsid w:val="003279A1"/>
    <w:rsid w:val="00363050"/>
    <w:rsid w:val="00375A5B"/>
    <w:rsid w:val="00381DFF"/>
    <w:rsid w:val="00392585"/>
    <w:rsid w:val="003A2815"/>
    <w:rsid w:val="003C1439"/>
    <w:rsid w:val="0041003E"/>
    <w:rsid w:val="00442A8A"/>
    <w:rsid w:val="00446B02"/>
    <w:rsid w:val="00457D15"/>
    <w:rsid w:val="00481B3D"/>
    <w:rsid w:val="0048351C"/>
    <w:rsid w:val="004E40F2"/>
    <w:rsid w:val="004E7085"/>
    <w:rsid w:val="005073A6"/>
    <w:rsid w:val="00515C71"/>
    <w:rsid w:val="005539CA"/>
    <w:rsid w:val="005950DC"/>
    <w:rsid w:val="005C5C71"/>
    <w:rsid w:val="005D07FC"/>
    <w:rsid w:val="00627794"/>
    <w:rsid w:val="006413B7"/>
    <w:rsid w:val="00662033"/>
    <w:rsid w:val="006A6D41"/>
    <w:rsid w:val="007245FD"/>
    <w:rsid w:val="0074445F"/>
    <w:rsid w:val="00745211"/>
    <w:rsid w:val="00752392"/>
    <w:rsid w:val="00763471"/>
    <w:rsid w:val="00812E69"/>
    <w:rsid w:val="00826C14"/>
    <w:rsid w:val="00844653"/>
    <w:rsid w:val="0089065B"/>
    <w:rsid w:val="008A2ACF"/>
    <w:rsid w:val="008C5576"/>
    <w:rsid w:val="008D168B"/>
    <w:rsid w:val="008E2531"/>
    <w:rsid w:val="008F61A5"/>
    <w:rsid w:val="00943CC4"/>
    <w:rsid w:val="00954099"/>
    <w:rsid w:val="00966B8B"/>
    <w:rsid w:val="00973D39"/>
    <w:rsid w:val="00986F32"/>
    <w:rsid w:val="009A1EBD"/>
    <w:rsid w:val="009B571F"/>
    <w:rsid w:val="009C4545"/>
    <w:rsid w:val="00A11B3B"/>
    <w:rsid w:val="00A171EB"/>
    <w:rsid w:val="00A4066A"/>
    <w:rsid w:val="00A556C5"/>
    <w:rsid w:val="00A627B5"/>
    <w:rsid w:val="00A95E48"/>
    <w:rsid w:val="00AA63B4"/>
    <w:rsid w:val="00AB5D98"/>
    <w:rsid w:val="00B10F2B"/>
    <w:rsid w:val="00B60236"/>
    <w:rsid w:val="00B650CD"/>
    <w:rsid w:val="00BE6BC3"/>
    <w:rsid w:val="00C07950"/>
    <w:rsid w:val="00C10AFC"/>
    <w:rsid w:val="00C5010B"/>
    <w:rsid w:val="00CC44BA"/>
    <w:rsid w:val="00CC6D03"/>
    <w:rsid w:val="00D062E4"/>
    <w:rsid w:val="00D30DE4"/>
    <w:rsid w:val="00D463C3"/>
    <w:rsid w:val="00D5014E"/>
    <w:rsid w:val="00D55E58"/>
    <w:rsid w:val="00D62FF3"/>
    <w:rsid w:val="00DA39C4"/>
    <w:rsid w:val="00DA5726"/>
    <w:rsid w:val="00DC2346"/>
    <w:rsid w:val="00DC7EDC"/>
    <w:rsid w:val="00DE1B1E"/>
    <w:rsid w:val="00DE7DA9"/>
    <w:rsid w:val="00E33E29"/>
    <w:rsid w:val="00E47DD4"/>
    <w:rsid w:val="00E82263"/>
    <w:rsid w:val="00E9529B"/>
    <w:rsid w:val="00EA51FE"/>
    <w:rsid w:val="00EC1173"/>
    <w:rsid w:val="00ED0857"/>
    <w:rsid w:val="00EF04B9"/>
    <w:rsid w:val="00F5223E"/>
    <w:rsid w:val="00F76AAC"/>
    <w:rsid w:val="00F81B12"/>
    <w:rsid w:val="00FB3EE5"/>
    <w:rsid w:val="00FB7D39"/>
    <w:rsid w:val="00FC04EC"/>
    <w:rsid w:val="00FC455B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494B"/>
  <w15:chartTrackingRefBased/>
  <w15:docId w15:val="{7F13FD9A-70A8-460F-BCDA-BC6805B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Kratzer</dc:creator>
  <cp:keywords/>
  <dc:description/>
  <cp:lastModifiedBy>Timothy Kratzer</cp:lastModifiedBy>
  <cp:revision>24</cp:revision>
  <cp:lastPrinted>2025-01-08T04:13:00Z</cp:lastPrinted>
  <dcterms:created xsi:type="dcterms:W3CDTF">2025-01-08T03:22:00Z</dcterms:created>
  <dcterms:modified xsi:type="dcterms:W3CDTF">2025-04-12T03:31:00Z</dcterms:modified>
</cp:coreProperties>
</file>